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ЦЕНТРАЛЬНОГО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5 июня 2025 г. по делу N А64-7696/2023</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29 мая 2025 года.</w:t>
      </w:r>
    </w:p>
    <w:p>
      <w:pPr>
        <w:pStyle w:val="0"/>
        <w:spacing w:before="200" w:line-rule="auto"/>
        <w:ind w:firstLine="540"/>
        <w:jc w:val="both"/>
      </w:pPr>
      <w:r>
        <w:rPr>
          <w:sz w:val="20"/>
        </w:rPr>
        <w:t xml:space="preserve">Постановление в полном объеме изготовлено 05 июня 2025 года.</w:t>
      </w:r>
    </w:p>
    <w:p>
      <w:pPr>
        <w:pStyle w:val="0"/>
        <w:spacing w:before="200" w:line-rule="auto"/>
        <w:ind w:firstLine="540"/>
        <w:jc w:val="both"/>
      </w:pPr>
      <w:r>
        <w:rPr>
          <w:sz w:val="20"/>
        </w:rPr>
        <w:t xml:space="preserve">Арбитражный суд Центрального округа в составе:</w:t>
      </w:r>
    </w:p>
    <w:p>
      <w:pPr>
        <w:pStyle w:val="0"/>
        <w:spacing w:before="200" w:line-rule="auto"/>
        <w:ind w:firstLine="540"/>
        <w:jc w:val="both"/>
      </w:pPr>
      <w:r>
        <w:rPr>
          <w:sz w:val="20"/>
        </w:rPr>
        <w:t xml:space="preserve">председательствующего судьи Радвановской Ю.А.,</w:t>
      </w:r>
    </w:p>
    <w:p>
      <w:pPr>
        <w:pStyle w:val="0"/>
        <w:spacing w:before="200" w:line-rule="auto"/>
        <w:ind w:firstLine="540"/>
        <w:jc w:val="both"/>
      </w:pPr>
      <w:r>
        <w:rPr>
          <w:sz w:val="20"/>
        </w:rPr>
        <w:t xml:space="preserve">судей Бессоновой Н.Н.,</w:t>
      </w:r>
    </w:p>
    <w:p>
      <w:pPr>
        <w:pStyle w:val="0"/>
        <w:spacing w:before="200" w:line-rule="auto"/>
        <w:ind w:firstLine="540"/>
        <w:jc w:val="both"/>
      </w:pPr>
      <w:r>
        <w:rPr>
          <w:sz w:val="20"/>
        </w:rPr>
        <w:t xml:space="preserve">Смотровой Н.Н.,</w:t>
      </w:r>
    </w:p>
    <w:p>
      <w:pPr>
        <w:pStyle w:val="0"/>
        <w:spacing w:before="200" w:line-rule="auto"/>
        <w:ind w:firstLine="540"/>
        <w:jc w:val="both"/>
      </w:pPr>
      <w:r>
        <w:rPr>
          <w:sz w:val="20"/>
        </w:rPr>
        <w:t xml:space="preserve">при ведении протокола судебного заседания помощником судьи Григорьевой Т.В.,</w:t>
      </w:r>
    </w:p>
    <w:p>
      <w:pPr>
        <w:pStyle w:val="0"/>
        <w:spacing w:before="200" w:line-rule="auto"/>
        <w:ind w:firstLine="540"/>
        <w:jc w:val="both"/>
      </w:pPr>
      <w:r>
        <w:rPr>
          <w:sz w:val="20"/>
        </w:rPr>
        <w:t xml:space="preserve">при участии в судебном заседании:</w:t>
      </w:r>
    </w:p>
    <w:p>
      <w:pPr>
        <w:pStyle w:val="0"/>
        <w:spacing w:before="200" w:line-rule="auto"/>
        <w:ind w:firstLine="540"/>
        <w:jc w:val="both"/>
      </w:pPr>
      <w:r>
        <w:rPr>
          <w:sz w:val="20"/>
        </w:rPr>
        <w:t xml:space="preserve">от заявителя жалобы: Пчелинцева Н.А. - представитель Управления Федеральной налоговой службы по Тамбовской области, доверенность от 01.11.2024, диплом, свидетельство о браке, служебное удостоверение;</w:t>
      </w:r>
    </w:p>
    <w:p>
      <w:pPr>
        <w:pStyle w:val="0"/>
        <w:spacing w:before="200" w:line-rule="auto"/>
        <w:ind w:firstLine="540"/>
        <w:jc w:val="both"/>
      </w:pPr>
      <w:r>
        <w:rPr>
          <w:sz w:val="20"/>
        </w:rPr>
        <w:t xml:space="preserve">от иных участвующих деле лиц: Заставнюк С.В. - генеральный директор ООО УК "Территория комфорта", паспорт;</w:t>
      </w:r>
    </w:p>
    <w:p>
      <w:pPr>
        <w:pStyle w:val="0"/>
        <w:spacing w:before="200" w:line-rule="auto"/>
        <w:ind w:firstLine="540"/>
        <w:jc w:val="both"/>
      </w:pPr>
      <w:r>
        <w:rPr>
          <w:sz w:val="20"/>
        </w:rPr>
        <w:t xml:space="preserve">рассмотрев в открытом судебном заседании путем использования системы видео-конференц-связи при содействии Арбитражного суда Тамбовской области кассационную жалобу Управления Федеральной налоговой службы по Тамбовской области на </w:t>
      </w:r>
      <w:hyperlink w:history="0" r:id="rId6" w:tooltip="Ссылка на КонсультантПлюс">
        <w:r>
          <w:rPr>
            <w:sz w:val="20"/>
            <w:color w:val="0000ff"/>
          </w:rPr>
          <w:t xml:space="preserve">решение</w:t>
        </w:r>
      </w:hyperlink>
      <w:r>
        <w:rPr>
          <w:sz w:val="20"/>
        </w:rPr>
        <w:t xml:space="preserve"> Арбитражного суда Тамбовской области от 02.10.2024 и </w:t>
      </w:r>
      <w:hyperlink w:history="0" r:id="rId7" w:tooltip="Постановление Девятнадцатого арбитражного апелляционного суда от 07.02.2025 N 19АП-6606/2024 по делу N А64-7696/2023 Требование: О признании недействительными решений налогового органа о привлечении к налоговой ответственности по п. 1 ст. 123 НК РФ в виде штрафа. Решение: Требование удовлетворено. {КонсультантПлюс}">
        <w:r>
          <w:rPr>
            <w:sz w:val="20"/>
            <w:color w:val="0000ff"/>
          </w:rPr>
          <w:t xml:space="preserve">постановление</w:t>
        </w:r>
      </w:hyperlink>
      <w:r>
        <w:rPr>
          <w:sz w:val="20"/>
        </w:rPr>
        <w:t xml:space="preserve"> Девятнадцатого арбитражного апелляционного суда от 07.02.2025 по делу N А64-7696/2023,</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Общество с ограниченной ответственностью Управляющая компания "Территория Комфорта" обратилось в Арбитражный суд Тамбовской области с заявлением к Управлению Федеральной налоговой службы по Тамбовской области о признании недействительными решений от 14.04.2023 N 2098 и от 15.05.2023 N 2130 о привлечении к налоговой ответственности за совершение налогового правонарушения, вынесенных по результатам камеральных налоговых проверок расчетов по НДФЛ </w:t>
      </w:r>
      <w:hyperlink w:history="0" r:id="rId8"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(форма N 6-НДФЛ)</w:t>
        </w:r>
      </w:hyperlink>
      <w:r>
        <w:rPr>
          <w:sz w:val="20"/>
        </w:rPr>
        <w:t xml:space="preserve"> и страховым взносам за 9 месяцев 2022 года.</w:t>
      </w:r>
    </w:p>
    <w:p>
      <w:pPr>
        <w:pStyle w:val="0"/>
        <w:spacing w:before="200" w:line-rule="auto"/>
        <w:ind w:firstLine="540"/>
        <w:jc w:val="both"/>
      </w:pPr>
      <w:hyperlink w:history="0" r:id="rId9" w:tooltip="Ссылка на КонсультантПлюс">
        <w:r>
          <w:rPr>
            <w:sz w:val="20"/>
            <w:color w:val="0000ff"/>
          </w:rPr>
          <w:t xml:space="preserve">Решением</w:t>
        </w:r>
      </w:hyperlink>
      <w:r>
        <w:rPr>
          <w:sz w:val="20"/>
        </w:rPr>
        <w:t xml:space="preserve"> Арбитражного суда Тамбовской области от 02.10.2024, оставленным без изменения </w:t>
      </w:r>
      <w:hyperlink w:history="0" r:id="rId10" w:tooltip="Постановление Девятнадцатого арбитражного апелляционного суда от 07.02.2025 N 19АП-6606/2024 по делу N А64-7696/2023 Требование: О признании недействительными решений налогового органа о привлечении к налоговой ответственности по п. 1 ст. 123 НК РФ в виде штрафа. Решение: Требование удовлетворено. {КонсультантПлюс}">
        <w:r>
          <w:rPr>
            <w:sz w:val="20"/>
            <w:color w:val="0000ff"/>
          </w:rPr>
          <w:t xml:space="preserve">постановлением</w:t>
        </w:r>
      </w:hyperlink>
      <w:r>
        <w:rPr>
          <w:sz w:val="20"/>
        </w:rPr>
        <w:t xml:space="preserve"> Девятнадцатого арбитражного апелляционного суда от 07.02.2025, заявленные требования удовлетворены.</w:t>
      </w:r>
    </w:p>
    <w:p>
      <w:pPr>
        <w:pStyle w:val="0"/>
        <w:spacing w:before="200" w:line-rule="auto"/>
        <w:ind w:firstLine="540"/>
        <w:jc w:val="both"/>
      </w:pPr>
      <w:r>
        <w:rPr>
          <w:sz w:val="20"/>
        </w:rPr>
        <w:t xml:space="preserve">Не согласившись с принятыми судебными актами, Управление Федеральной налоговой службы по Тамбовской области обратилось в суд округа с кассационной жалобой, в которой просит их отменить, дело направить на новое рассмотрение.</w:t>
      </w:r>
    </w:p>
    <w:p>
      <w:pPr>
        <w:pStyle w:val="0"/>
        <w:spacing w:before="200" w:line-rule="auto"/>
        <w:ind w:firstLine="540"/>
        <w:jc w:val="both"/>
      </w:pPr>
      <w:r>
        <w:rPr>
          <w:sz w:val="20"/>
        </w:rPr>
        <w:t xml:space="preserve">В обоснование своих доводов заявитель ссылается на оставление судами без должной оценки доводов налогового органа о систематичности оказанных самозанятыми услуг, фиксированном характере оплаты их труда, а также о том, что заключенные договоры были направлены на обеспечение деятельности общества в соответствии с его основным видом деятельности.</w:t>
      </w:r>
    </w:p>
    <w:p>
      <w:pPr>
        <w:pStyle w:val="0"/>
        <w:spacing w:before="200" w:line-rule="auto"/>
        <w:ind w:firstLine="540"/>
        <w:jc w:val="both"/>
      </w:pPr>
      <w:r>
        <w:rPr>
          <w:sz w:val="20"/>
        </w:rPr>
        <w:t xml:space="preserve">Так, по мнению Управления, указанные в оспариваемом решении лица находились во взаимосвязанных правоотношениях с налогоплательщиком, поэтому выводы судов противоречат фактическим обстоятельствам дела, что привело к принятию неправильных судебных актов, которые подлежат отмене, а дело направлению на новое рассмотрение.</w:t>
      </w:r>
    </w:p>
    <w:p>
      <w:pPr>
        <w:pStyle w:val="0"/>
        <w:spacing w:before="200" w:line-rule="auto"/>
        <w:ind w:firstLine="540"/>
        <w:jc w:val="both"/>
      </w:pPr>
      <w:r>
        <w:rPr>
          <w:sz w:val="20"/>
        </w:rPr>
        <w:t xml:space="preserve">От ООО УК "Территория Комфорта" в суд округа поступил отзыв на кассационную жалобу, в котором общество считает оспариваемые судебные акты законными и обоснованными, просило оставить их без изменения, а кассационную жалобу - без удовлетворения.</w:t>
      </w:r>
    </w:p>
    <w:p>
      <w:pPr>
        <w:pStyle w:val="0"/>
        <w:spacing w:before="200" w:line-rule="auto"/>
        <w:ind w:firstLine="540"/>
        <w:jc w:val="both"/>
      </w:pPr>
      <w:r>
        <w:rPr>
          <w:sz w:val="20"/>
        </w:rPr>
        <w:t xml:space="preserve">В судебном заседании представитель налогового органа поддержал доводы кассационной жалобы по основаниям в ней изложенным.</w:t>
      </w:r>
    </w:p>
    <w:p>
      <w:pPr>
        <w:pStyle w:val="0"/>
        <w:spacing w:before="200" w:line-rule="auto"/>
        <w:ind w:firstLine="540"/>
        <w:jc w:val="both"/>
      </w:pPr>
      <w:r>
        <w:rPr>
          <w:sz w:val="20"/>
        </w:rPr>
        <w:t xml:space="preserve">Представитель ООО УК "Территория Комфорта" в судебном заседании суда округа поддержал доводы представленного отзыва, просил отказать в удовлетворении кассационной жалобы.</w:t>
      </w:r>
    </w:p>
    <w:p>
      <w:pPr>
        <w:pStyle w:val="0"/>
        <w:spacing w:before="200" w:line-rule="auto"/>
        <w:ind w:firstLine="540"/>
        <w:jc w:val="both"/>
      </w:pPr>
      <w:r>
        <w:rPr>
          <w:sz w:val="20"/>
        </w:rPr>
        <w:t xml:space="preserve">Проверив в порядке, установленном </w:t>
      </w:r>
      <w:hyperlink w:history="0" r:id="rId11"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главой 35</w:t>
        </w:r>
      </w:hyperlink>
      <w:r>
        <w:rPr>
          <w:sz w:val="20"/>
        </w:rPr>
        <w:t xml:space="preserve"> АПК РФ, правильность применения судами норм материального и процессуального права, исходя из доводов, содержащихся в кассационной жалобе, суд округа пришел к выводу об отсутствии правовых оснований для отмены обжалуемых судебных актов, исходя из следующего.</w:t>
      </w:r>
    </w:p>
    <w:p>
      <w:pPr>
        <w:pStyle w:val="0"/>
        <w:spacing w:before="200" w:line-rule="auto"/>
        <w:ind w:firstLine="540"/>
        <w:jc w:val="both"/>
      </w:pPr>
      <w:r>
        <w:rPr>
          <w:sz w:val="20"/>
        </w:rPr>
        <w:t xml:space="preserve">Судами двух инстанций установлено, что налоговым органом в отношении ООО УК "Территория Комфорта" проведена камеральная налоговая проверка расчета сумм налога на доходы физических лиц, исчисленных и удержанных налоговым агентом </w:t>
      </w:r>
      <w:hyperlink w:history="0" r:id="rId12"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(форма N 6-НДФЛ)</w:t>
        </w:r>
      </w:hyperlink>
      <w:r>
        <w:rPr>
          <w:sz w:val="20"/>
        </w:rPr>
        <w:t xml:space="preserve"> за 9 месяцев 2022 года, по результатам которой составлен Акт налоговой проверки от 13.02.2022 N 787 и принято решение от 14.04.2023 N 2098 о привлечении к налоговой ответственности за совершение налогового правонарушения, которым обществу доначислен НДФЛ в размере 34 107 руб., а также оно привлечено к ответственности, предусмотренной </w:t>
      </w:r>
      <w:hyperlink w:history="0" r:id="rId13" w:tooltip="&quot;Налоговый кодекс Российской Федерации (часть первая)&quot; от 31.07.1998 N 146-ФЗ (ред. от 08.08.2024) (с изм. и доп., вступ. в силу с 08.09.2024) ------------ Недействующая редакция {КонсультантПлюс}">
        <w:r>
          <w:rPr>
            <w:sz w:val="20"/>
            <w:color w:val="0000ff"/>
          </w:rPr>
          <w:t xml:space="preserve">пунктом 1 статьи 123</w:t>
        </w:r>
      </w:hyperlink>
      <w:r>
        <w:rPr>
          <w:sz w:val="20"/>
        </w:rPr>
        <w:t xml:space="preserve"> НК РФ в виде штрафа в размере 3 410,70 руб. (с учетом применения смягчающих обстоятельств, предусмотренных </w:t>
      </w:r>
      <w:hyperlink w:history="0" r:id="rId14" w:tooltip="&quot;Налоговый кодекс Российской Федерации (часть первая)&quot; от 31.07.1998 N 146-ФЗ (ред. от 08.08.2024) (с изм. и доп., вступ. в силу с 08.09.2024) ------------ Недействующая редакция {КонсультантПлюс}">
        <w:r>
          <w:rPr>
            <w:sz w:val="20"/>
            <w:color w:val="0000ff"/>
          </w:rPr>
          <w:t xml:space="preserve">статьями 112</w:t>
        </w:r>
      </w:hyperlink>
      <w:r>
        <w:rPr>
          <w:sz w:val="20"/>
        </w:rPr>
        <w:t xml:space="preserve">, </w:t>
      </w:r>
      <w:hyperlink w:history="0" r:id="rId15" w:tooltip="&quot;Налоговый кодекс Российской Федерации (часть первая)&quot; от 31.07.1998 N 146-ФЗ (ред. от 08.08.2024) (с изм. и доп., вступ. в силу с 08.09.2024) ------------ Недействующая редакция {КонсультантПлюс}">
        <w:r>
          <w:rPr>
            <w:sz w:val="20"/>
            <w:color w:val="0000ff"/>
          </w:rPr>
          <w:t xml:space="preserve">114</w:t>
        </w:r>
      </w:hyperlink>
      <w:r>
        <w:rPr>
          <w:sz w:val="20"/>
        </w:rPr>
        <w:t xml:space="preserve"> НК РФ).</w:t>
      </w:r>
    </w:p>
    <w:p>
      <w:pPr>
        <w:pStyle w:val="0"/>
        <w:spacing w:before="200" w:line-rule="auto"/>
        <w:ind w:firstLine="540"/>
        <w:jc w:val="both"/>
      </w:pPr>
      <w:r>
        <w:rPr>
          <w:sz w:val="20"/>
        </w:rPr>
        <w:t xml:space="preserve">По результатам рассмотрения апелляционной жалобы ООО УК "Территория Комфорта" решением МИФНС по Центральному федеральному округу от 09.06.2023 N 40-9-14/02639@ решение УФНС России по Тамбовской области от 14.04.2023 N 2098 оставлено без изменения.</w:t>
      </w:r>
    </w:p>
    <w:p>
      <w:pPr>
        <w:pStyle w:val="0"/>
        <w:spacing w:before="200" w:line-rule="auto"/>
        <w:ind w:firstLine="540"/>
        <w:jc w:val="both"/>
      </w:pPr>
      <w:r>
        <w:rPr>
          <w:sz w:val="20"/>
        </w:rPr>
        <w:t xml:space="preserve">Также налоговым органом по результатам камеральной налоговой проверки расчета по страховым взносам за 9 месяцев 2022 года, составлен Акт от 13.02.2023 N 783 и принято решение от 15.05.2023 N 2130 о привлечении к ответственности за совершение налогового правонарушения, которым (с учетом решения от 28.06.2023 о внесении изменений в решение N 2130 в части отмены штрафных санкций размере 33,55 руб. за умышленную неуплату страховых взносов на обязательное медицинское страхование) обществу начислены суммы страховых взносов в размере 84 478,69 руб..</w:t>
      </w:r>
    </w:p>
    <w:p>
      <w:pPr>
        <w:pStyle w:val="0"/>
        <w:spacing w:before="200" w:line-rule="auto"/>
        <w:ind w:firstLine="540"/>
        <w:jc w:val="both"/>
      </w:pPr>
      <w:r>
        <w:rPr>
          <w:sz w:val="20"/>
        </w:rPr>
        <w:t xml:space="preserve">По результатам рассмотрения апелляционной жалобы налогоплательщика решением МИФНС по Центральному федеральному округу от 04.07.2023 N 40-9-14/03020@ решение УФНС России по Тамбовской области N 2130 от 15.05.2023 оставлено без изменения.</w:t>
      </w:r>
    </w:p>
    <w:p>
      <w:pPr>
        <w:pStyle w:val="0"/>
        <w:spacing w:before="200" w:line-rule="auto"/>
        <w:ind w:firstLine="540"/>
        <w:jc w:val="both"/>
      </w:pPr>
      <w:r>
        <w:rPr>
          <w:sz w:val="20"/>
        </w:rPr>
        <w:t xml:space="preserve">В ходе рассмотрения дела судом первой инстанции УФНС России по Тамбовской области вынесено решение от 27.04.2024 "О внесении изменений в Решение от 14.04.2023 N 2098 о привлечении к ответственности за совершение налогового правонарушения", которым решение N 2098 изменено, уменьшена сумма доначисленного НДФЛ до 23 613 руб. ввиду учета уплаченных за спорный период сумм НПД и уменьшен размер штрафных санкций до 2 361,30 руб..</w:t>
      </w:r>
    </w:p>
    <w:p>
      <w:pPr>
        <w:pStyle w:val="0"/>
        <w:spacing w:before="200" w:line-rule="auto"/>
        <w:ind w:firstLine="540"/>
        <w:jc w:val="both"/>
      </w:pPr>
      <w:r>
        <w:rPr>
          <w:sz w:val="20"/>
        </w:rPr>
        <w:t xml:space="preserve">Удовлетворяя заявленные требования и признавая недействительными решения налогового органа от 14.04.2023 N 2098 от 15.05.2023 N 2130, суды исходили из того, что в оспариваемых решениях не отражены признаки, позволяющие в соответствии с трудовым законодательством квалифицировать отношения, возникшие между заявителем и самозанятыми физическими лицами, в качестве трудовых отношений.</w:t>
      </w:r>
    </w:p>
    <w:p>
      <w:pPr>
        <w:pStyle w:val="0"/>
        <w:spacing w:before="200" w:line-rule="auto"/>
        <w:ind w:firstLine="540"/>
        <w:jc w:val="both"/>
      </w:pPr>
      <w:r>
        <w:rPr>
          <w:sz w:val="20"/>
        </w:rPr>
        <w:t xml:space="preserve">Кассационная инстанция, изучив материалы дела и доводы кассационной жалобы, проверив правильность применения судами первой и апелляционной инстанций норм материального и процессуального права, соответствие их выводов фактическим обстоятельствам дела и представленным доказательствам, не находит оснований для отмены обжалуемых судебных актов и удовлетворения кассационной жалобы.</w:t>
      </w:r>
    </w:p>
    <w:p>
      <w:pPr>
        <w:pStyle w:val="0"/>
        <w:spacing w:before="200" w:line-rule="auto"/>
        <w:ind w:firstLine="540"/>
        <w:jc w:val="both"/>
      </w:pPr>
      <w:r>
        <w:rPr>
          <w:sz w:val="20"/>
        </w:rPr>
        <w:t xml:space="preserve">В соответствии с </w:t>
      </w:r>
      <w:hyperlink w:history="0" r:id="rId16"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пунктом 1 статьи 207</w:t>
        </w:r>
      </w:hyperlink>
      <w:r>
        <w:rPr>
          <w:sz w:val="20"/>
        </w:rPr>
        <w:t xml:space="preserve"> НК РФ налогоплательщиками НДФЛ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pPr>
        <w:pStyle w:val="0"/>
        <w:spacing w:before="200" w:line-rule="auto"/>
        <w:ind w:firstLine="540"/>
        <w:jc w:val="both"/>
      </w:pPr>
      <w:r>
        <w:rPr>
          <w:sz w:val="20"/>
        </w:rPr>
        <w:t xml:space="preserve">Объектом налогообложения по НДФЛ признается доход, полученный налогоплательщиком как в денежной, так и в натуральной формах, а также доходы в виде материальной выгоды (</w:t>
      </w:r>
      <w:hyperlink w:history="0" r:id="rId17"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статьи 209</w:t>
        </w:r>
      </w:hyperlink>
      <w:r>
        <w:rPr>
          <w:sz w:val="20"/>
        </w:rPr>
        <w:t xml:space="preserve">, </w:t>
      </w:r>
      <w:hyperlink w:history="0" r:id="rId18"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210</w:t>
        </w:r>
      </w:hyperlink>
      <w:r>
        <w:rPr>
          <w:sz w:val="20"/>
        </w:rPr>
        <w:t xml:space="preserve"> НК РФ).</w:t>
      </w:r>
    </w:p>
    <w:p>
      <w:pPr>
        <w:pStyle w:val="0"/>
        <w:spacing w:before="200" w:line-rule="auto"/>
        <w:ind w:firstLine="540"/>
        <w:jc w:val="both"/>
      </w:pPr>
      <w:r>
        <w:rPr>
          <w:sz w:val="20"/>
        </w:rPr>
        <w:t xml:space="preserve">На основании </w:t>
      </w:r>
      <w:hyperlink w:history="0" r:id="rId19"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пункта 1 статьи 226</w:t>
        </w:r>
      </w:hyperlink>
      <w:r>
        <w:rPr>
          <w:sz w:val="20"/>
        </w:rPr>
        <w:t xml:space="preserve"> НК РФ российские организации, от которых или в результате отношений с которыми налогоплательщик получил доходы, указанные в </w:t>
      </w:r>
      <w:hyperlink w:history="0" r:id="rId20"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пункте 2 статьи 226</w:t>
        </w:r>
      </w:hyperlink>
      <w:r>
        <w:rPr>
          <w:sz w:val="20"/>
        </w:rPr>
        <w:t xml:space="preserve"> НК РФ, обязаны исчислить, удержать у налогоплательщика и уплатить сумму налога, исчисленную в соответствии со </w:t>
      </w:r>
      <w:hyperlink w:history="0" r:id="rId21"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статьей 225</w:t>
        </w:r>
      </w:hyperlink>
      <w:r>
        <w:rPr>
          <w:sz w:val="20"/>
        </w:rPr>
        <w:t xml:space="preserve"> НК РФ.</w:t>
      </w:r>
    </w:p>
    <w:p>
      <w:pPr>
        <w:pStyle w:val="0"/>
        <w:spacing w:before="200" w:line-rule="auto"/>
        <w:ind w:firstLine="540"/>
        <w:jc w:val="both"/>
      </w:pPr>
      <w:r>
        <w:rPr>
          <w:sz w:val="20"/>
        </w:rPr>
        <w:t xml:space="preserve">Исчисление сумм и уплата налога в соответствии со </w:t>
      </w:r>
      <w:hyperlink w:history="0" r:id="rId22"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статьей 226</w:t>
        </w:r>
      </w:hyperlink>
      <w:r>
        <w:rPr>
          <w:sz w:val="20"/>
        </w:rPr>
        <w:t xml:space="preserve"> НК РФ производятся в отношении всех доходов налогоплательщика, источником которых является налоговый агент, с зачетом ранее удержанных сумм налога (</w:t>
      </w:r>
      <w:hyperlink w:history="0" r:id="rId23" w:tooltip="&quot;Налоговый кодекс Российской Федерации (часть вторая)&quot; от 05.08.2000 N 117-ФЗ (ред. от 08.08.2024) (с изм. и доп., вступ. в силу с 01.10.2024) ------------ Недействующая редакция {КонсультантПлюс}">
        <w:r>
          <w:rPr>
            <w:sz w:val="20"/>
            <w:color w:val="0000ff"/>
          </w:rPr>
          <w:t xml:space="preserve">пункт 2 статьи 226</w:t>
        </w:r>
      </w:hyperlink>
      <w:r>
        <w:rPr>
          <w:sz w:val="20"/>
        </w:rPr>
        <w:t xml:space="preserve"> НК РФ).</w:t>
      </w:r>
    </w:p>
    <w:p>
      <w:pPr>
        <w:pStyle w:val="0"/>
        <w:spacing w:before="200" w:line-rule="auto"/>
        <w:ind w:firstLine="540"/>
        <w:jc w:val="both"/>
      </w:pPr>
      <w:r>
        <w:rPr>
          <w:sz w:val="20"/>
        </w:rPr>
        <w:t xml:space="preserve">В соответствии с </w:t>
      </w:r>
      <w:hyperlink w:history="0" r:id="rId24"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пунктом 2 части 1 статьи 1</w:t>
        </w:r>
      </w:hyperlink>
      <w:r>
        <w:rPr>
          <w:sz w:val="20"/>
        </w:rPr>
        <w:t xml:space="preserve"> Федерального закона от 27.11.2018 N 422-ФЗ "О проведении эксперимента по установлению специального налогового режима "Налог на профессиональный доход" начато проведение эксперимента по установлению специального налогового режима "Налог на профессиональный доход".</w:t>
      </w:r>
    </w:p>
    <w:p>
      <w:pPr>
        <w:pStyle w:val="0"/>
        <w:spacing w:before="200" w:line-rule="auto"/>
        <w:ind w:firstLine="540"/>
        <w:jc w:val="both"/>
      </w:pPr>
      <w:r>
        <w:rPr>
          <w:sz w:val="20"/>
        </w:rPr>
        <w:t xml:space="preserve">Согласно </w:t>
      </w:r>
      <w:hyperlink w:history="0" r:id="rId25"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части 1 статьи 2</w:t>
        </w:r>
      </w:hyperlink>
      <w:r>
        <w:rPr>
          <w:sz w:val="20"/>
        </w:rPr>
        <w:t xml:space="preserve"> Закона N 422-ФЗ применять специальный налоговый режим вправе физические лица, в том числе индивидуальные предприниматели.</w:t>
      </w:r>
    </w:p>
    <w:p>
      <w:pPr>
        <w:pStyle w:val="0"/>
        <w:spacing w:before="200" w:line-rule="auto"/>
        <w:ind w:firstLine="540"/>
        <w:jc w:val="both"/>
      </w:pPr>
      <w:r>
        <w:rPr>
          <w:sz w:val="20"/>
        </w:rPr>
        <w:t xml:space="preserve">Физические лица при применении специального налогового режима вправе вести виды деятельности, доходы от которых облагаются НПД,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 (</w:t>
      </w:r>
      <w:hyperlink w:history="0" r:id="rId26"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часть 6 статьи 2</w:t>
        </w:r>
      </w:hyperlink>
      <w:r>
        <w:rPr>
          <w:sz w:val="20"/>
        </w:rPr>
        <w:t xml:space="preserve"> Закона N 422-ФЗ).</w:t>
      </w:r>
    </w:p>
    <w:p>
      <w:pPr>
        <w:pStyle w:val="0"/>
        <w:spacing w:before="200" w:line-rule="auto"/>
        <w:ind w:firstLine="540"/>
        <w:jc w:val="both"/>
      </w:pPr>
      <w:r>
        <w:rPr>
          <w:sz w:val="20"/>
        </w:rPr>
        <w:t xml:space="preserve">На основании </w:t>
      </w:r>
      <w:hyperlink w:history="0" r:id="rId27"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части 7 статьи 2</w:t>
        </w:r>
      </w:hyperlink>
      <w:r>
        <w:rPr>
          <w:sz w:val="20"/>
        </w:rPr>
        <w:t xml:space="preserve"> Закона N 422-ФЗ профессиональным доходом признается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pPr>
        <w:pStyle w:val="0"/>
        <w:spacing w:before="200" w:line-rule="auto"/>
        <w:ind w:firstLine="540"/>
        <w:jc w:val="both"/>
      </w:pPr>
      <w:hyperlink w:history="0" r:id="rId28"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Частью 8 статьи 2</w:t>
        </w:r>
      </w:hyperlink>
      <w:r>
        <w:rPr>
          <w:sz w:val="20"/>
        </w:rPr>
        <w:t xml:space="preserve"> Закона N 422-ФЗ установлено, что физические лица, применяющие специальный налоговый режим, освобождаются от налогообложения НДФЛ в отношении доходов, являющихся объектом налогообложения НПД.</w:t>
      </w:r>
    </w:p>
    <w:p>
      <w:pPr>
        <w:pStyle w:val="0"/>
        <w:spacing w:before="200" w:line-rule="auto"/>
        <w:ind w:firstLine="540"/>
        <w:jc w:val="both"/>
      </w:pPr>
      <w:r>
        <w:rPr>
          <w:sz w:val="20"/>
        </w:rPr>
        <w:t xml:space="preserve">Как следует из </w:t>
      </w:r>
      <w:hyperlink w:history="0" r:id="rId29"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части 1 статьи 6</w:t>
        </w:r>
      </w:hyperlink>
      <w:r>
        <w:rPr>
          <w:sz w:val="20"/>
        </w:rPr>
        <w:t xml:space="preserve"> Закона N 422-ФЗ, объектом налогообложения НПД признаются доходы от реализации товаров (работ, услуг, имущественных прав).</w:t>
      </w:r>
    </w:p>
    <w:p>
      <w:pPr>
        <w:pStyle w:val="0"/>
        <w:spacing w:before="200" w:line-rule="auto"/>
        <w:ind w:firstLine="540"/>
        <w:jc w:val="both"/>
      </w:pPr>
      <w:r>
        <w:rPr>
          <w:sz w:val="20"/>
        </w:rPr>
        <w:t xml:space="preserve">Для целей </w:t>
      </w:r>
      <w:hyperlink w:history="0" r:id="rId30"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Закона</w:t>
        </w:r>
      </w:hyperlink>
      <w:r>
        <w:rPr>
          <w:sz w:val="20"/>
        </w:rPr>
        <w:t xml:space="preserve"> N 422-ФЗ не признаются объектом налогообложения, в частности, доходы, получаемые в рамках трудовых отношений (</w:t>
      </w:r>
      <w:hyperlink w:history="0" r:id="rId31"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пункт 1 части 2 статьи 6</w:t>
        </w:r>
      </w:hyperlink>
      <w:r>
        <w:rPr>
          <w:sz w:val="20"/>
        </w:rPr>
        <w:t xml:space="preserve"> названного Закона); доходы от передачи имущественных прав на недвижимое имущество (за исключением аренды (найма) жилых помещений) (</w:t>
      </w:r>
      <w:hyperlink w:history="0" r:id="rId32"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пункт 3 части 2 статьи 6</w:t>
        </w:r>
      </w:hyperlink>
      <w:r>
        <w:rPr>
          <w:sz w:val="20"/>
        </w:rPr>
        <w:t xml:space="preserve"> Закона N 422-ФЗ); доходы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 (</w:t>
      </w:r>
      <w:hyperlink w:history="0" r:id="rId33"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 Недействующая редакция {КонсультантПлюс}">
        <w:r>
          <w:rPr>
            <w:sz w:val="20"/>
            <w:color w:val="0000ff"/>
          </w:rPr>
          <w:t xml:space="preserve">пункт 8 части 2 статьи 6</w:t>
        </w:r>
      </w:hyperlink>
      <w:r>
        <w:rPr>
          <w:sz w:val="20"/>
        </w:rPr>
        <w:t xml:space="preserve"> данного Закона).</w:t>
      </w:r>
    </w:p>
    <w:p>
      <w:pPr>
        <w:pStyle w:val="0"/>
        <w:spacing w:before="200" w:line-rule="auto"/>
        <w:ind w:firstLine="540"/>
        <w:jc w:val="both"/>
      </w:pPr>
      <w:r>
        <w:rPr>
          <w:sz w:val="20"/>
        </w:rPr>
        <w:t xml:space="preserve">Согласно </w:t>
      </w:r>
      <w:hyperlink w:history="0" r:id="rId34" w:tooltip="&quot;Трудовой кодекс Российской Федерации&quot; от 30.12.2001 N 197-ФЗ (ред. от 08.08.2024, с изм. от 22.11.2024) ------------ Недействующая редакция {КонсультантПлюс}">
        <w:r>
          <w:rPr>
            <w:sz w:val="20"/>
            <w:color w:val="0000ff"/>
          </w:rPr>
          <w:t xml:space="preserve">статье 15</w:t>
        </w:r>
      </w:hyperlink>
      <w:r>
        <w:rPr>
          <w:sz w:val="20"/>
        </w:rPr>
        <w:t xml:space="preserve"> ТК РФ трудовые отношения представляют собой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spacing w:before="200" w:line-rule="auto"/>
        <w:ind w:firstLine="540"/>
        <w:jc w:val="both"/>
      </w:pPr>
      <w:r>
        <w:rPr>
          <w:sz w:val="20"/>
        </w:rPr>
        <w:t xml:space="preserve">Трудовые отношения возникают между работником и работодателем на основании трудового договора, заключаемого ими в соответствии с </w:t>
      </w:r>
      <w:hyperlink w:history="0" r:id="rId35" w:tooltip="&quot;Трудовой кодекс Российской Федерации&quot; от 30.12.2001 N 197-ФЗ (ред. от 08.08.2024, с изм. от 22.11.2024) ------------ Недействующая редакция {КонсультантПлюс}">
        <w:r>
          <w:rPr>
            <w:sz w:val="20"/>
            <w:color w:val="0000ff"/>
          </w:rPr>
          <w:t xml:space="preserve">ТК</w:t>
        </w:r>
      </w:hyperlink>
      <w:r>
        <w:rPr>
          <w:sz w:val="20"/>
        </w:rPr>
        <w:t xml:space="preserve"> РФ, а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 (</w:t>
      </w:r>
      <w:hyperlink w:history="0" r:id="rId36" w:tooltip="&quot;Трудовой кодекс Российской Федерации&quot; от 30.12.2001 N 197-ФЗ (ред. от 08.08.2024, с изм. от 22.11.2024) ------------ Недействующая редакция {КонсультантПлюс}">
        <w:r>
          <w:rPr>
            <w:sz w:val="20"/>
            <w:color w:val="0000ff"/>
          </w:rPr>
          <w:t xml:space="preserve">статья 16</w:t>
        </w:r>
      </w:hyperlink>
      <w:r>
        <w:rPr>
          <w:sz w:val="20"/>
        </w:rPr>
        <w:t xml:space="preserve"> ТК РФ).</w:t>
      </w:r>
    </w:p>
    <w:p>
      <w:pPr>
        <w:pStyle w:val="0"/>
        <w:spacing w:before="200" w:line-rule="auto"/>
        <w:ind w:firstLine="540"/>
        <w:jc w:val="both"/>
      </w:pPr>
      <w:r>
        <w:rPr>
          <w:sz w:val="20"/>
        </w:rPr>
        <w:t xml:space="preserve">В силу положений </w:t>
      </w:r>
      <w:hyperlink w:history="0" r:id="rId37" w:tooltip="&quot;Трудовой кодекс Российской Федерации&quot; от 30.12.2001 N 197-ФЗ (ред. от 08.08.2024, с изм. от 22.11.2024) ------------ Недействующая редакция {КонсультантПлюс}">
        <w:r>
          <w:rPr>
            <w:sz w:val="20"/>
            <w:color w:val="0000ff"/>
          </w:rPr>
          <w:t xml:space="preserve">статьи 56</w:t>
        </w:r>
      </w:hyperlink>
      <w:r>
        <w:rPr>
          <w:sz w:val="20"/>
        </w:rPr>
        <w:t xml:space="preserve"> ТК РФ под трудовым договором понимается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pPr>
        <w:pStyle w:val="0"/>
        <w:spacing w:before="200" w:line-rule="auto"/>
        <w:ind w:firstLine="540"/>
        <w:jc w:val="both"/>
      </w:pPr>
      <w:r>
        <w:rPr>
          <w:sz w:val="20"/>
        </w:rPr>
        <w:t xml:space="preserve">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hyperlink w:history="0" r:id="rId38"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пункт 1 статьи 779</w:t>
        </w:r>
      </w:hyperlink>
      <w:r>
        <w:rPr>
          <w:sz w:val="20"/>
        </w:rPr>
        <w:t xml:space="preserve"> ГК РФ).</w:t>
      </w:r>
    </w:p>
    <w:p>
      <w:pPr>
        <w:pStyle w:val="0"/>
        <w:spacing w:before="200" w:line-rule="auto"/>
        <w:ind w:firstLine="540"/>
        <w:jc w:val="both"/>
      </w:pPr>
      <w:r>
        <w:rPr>
          <w:sz w:val="20"/>
        </w:rPr>
        <w:t xml:space="preserve">Договор возмездного оказания услуг заключается для выполнения исполнителем определенного задания заказчика, согласованного сторонами при заключении договора. Целью договора возмездного оказания услуг является не выполнение работы как таковой, а осуществление исполнителем действий или деятельности на основании индивидуально-конкретного задания к оговоренному сроку за обусловленную в договоре плату.</w:t>
      </w:r>
    </w:p>
    <w:p>
      <w:pPr>
        <w:pStyle w:val="0"/>
        <w:spacing w:before="200" w:line-rule="auto"/>
        <w:ind w:firstLine="540"/>
        <w:jc w:val="both"/>
      </w:pPr>
      <w:r>
        <w:rPr>
          <w:sz w:val="20"/>
        </w:rPr>
        <w:t xml:space="preserve">Согласно разъяснениям, изложенным в </w:t>
      </w:r>
      <w:hyperlink w:history="0" r:id="rId39"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пункте 17</w:t>
        </w:r>
      </w:hyperlink>
      <w:r>
        <w:rPr>
          <w:sz w:val="20"/>
        </w:rPr>
        <w:t xml:space="preserve"> постановления Пленума Верховного Суда Российской Федерации от 29.05.2018 N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к характерным признакам трудовых отношений в соответствии со </w:t>
      </w:r>
      <w:hyperlink w:history="0" r:id="rId40" w:tooltip="&quot;Трудовой кодекс Российской Федерации&quot; от 30.12.2001 N 197-ФЗ (ред. от 08.08.2024, с изм. от 22.11.2024) ------------ Недействующая редакция {КонсультантПлюс}">
        <w:r>
          <w:rPr>
            <w:sz w:val="20"/>
            <w:color w:val="0000ff"/>
          </w:rPr>
          <w:t xml:space="preserve">статьями 15</w:t>
        </w:r>
      </w:hyperlink>
      <w:r>
        <w:rPr>
          <w:sz w:val="20"/>
        </w:rPr>
        <w:t xml:space="preserve"> и </w:t>
      </w:r>
      <w:hyperlink w:history="0" r:id="rId41" w:tooltip="&quot;Трудовой кодекс Российской Федерации&quot; от 30.12.2001 N 197-ФЗ (ред. от 08.08.2024, с изм. от 22.11.2024) ------------ Недействующая редакция {КонсультантПлюс}">
        <w:r>
          <w:rPr>
            <w:sz w:val="20"/>
            <w:color w:val="0000ff"/>
          </w:rPr>
          <w:t xml:space="preserve">56</w:t>
        </w:r>
      </w:hyperlink>
      <w:r>
        <w:rPr>
          <w:sz w:val="20"/>
        </w:rPr>
        <w:t xml:space="preserve"> ТК РФ относятся: достижение сторонами соглашения о личном выполнении работником определенной, заранее обусловленной трудовой функции в интересах, под контролем и управлением работодателя; подчинение работника действующим у работодателя правилам внутреннего трудового распорядка, графику работы (сменности); обеспечение работодателем условий труда; выполнение работником трудовой функции за плату.</w:t>
      </w:r>
    </w:p>
    <w:p>
      <w:pPr>
        <w:pStyle w:val="0"/>
        <w:spacing w:before="200" w:line-rule="auto"/>
        <w:ind w:firstLine="540"/>
        <w:jc w:val="both"/>
      </w:pPr>
      <w:r>
        <w:rPr>
          <w:sz w:val="20"/>
        </w:rPr>
        <w:t xml:space="preserve">О наличии трудовых отношений может свидетельствовать устойчивый и стабильный характер этих отношений, подчиненность и зависимость труда, выполнение работником работы только по определенной специальности, квалификации или должности, наличие дополнительных гарантий работнику, установленных законами, иными нормативными правовыми актами, регулирующими трудовые отношения.</w:t>
      </w:r>
    </w:p>
    <w:p>
      <w:pPr>
        <w:pStyle w:val="0"/>
        <w:spacing w:before="200" w:line-rule="auto"/>
        <w:ind w:firstLine="540"/>
        <w:jc w:val="both"/>
      </w:pPr>
      <w:r>
        <w:rPr>
          <w:sz w:val="20"/>
        </w:rPr>
        <w:t xml:space="preserve">В </w:t>
      </w:r>
      <w:hyperlink w:history="0" r:id="rId42"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пункте 24</w:t>
        </w:r>
      </w:hyperlink>
      <w:r>
        <w:rPr>
          <w:sz w:val="20"/>
        </w:rPr>
        <w:t xml:space="preserve"> Постановления N 15 разъяснено, что от договора возмездного оказания услуг трудовой договор отличается предметом договора, в соответствии с которым исполнителем (работником) выполняется не какая-то конкретная разовая работа, а определенные трудовые функции, входящие в обязанности физического лица - работника, при этом важен сам процесс исполнения им этой трудовой функции, а не оказанная услуга. Также по договору возмездного оказания услуг исполнитель сохраняет положение самостоятельного хозяйствующего субъекта, в то время как по трудовому договору работник принимает на себя обязанность выполнять работу по определенной трудовой функции (специальности, квалификации, должности), включается в состав персонала работодателя, подчиняется установленному режиму труда и работает под контролем и руководством работодателя; исполнитель по договору возмездного оказания услуг работает на свой риск, а лицо, работающее по трудовому договору, не несет риска, связанного с осуществлением своего труда.</w:t>
      </w:r>
    </w:p>
    <w:p>
      <w:pPr>
        <w:pStyle w:val="0"/>
        <w:spacing w:before="200" w:line-rule="auto"/>
        <w:ind w:firstLine="540"/>
        <w:jc w:val="both"/>
      </w:pPr>
      <w:r>
        <w:rPr>
          <w:sz w:val="20"/>
        </w:rPr>
        <w:t xml:space="preserve">Как следует из материалов дела, ООО УК "Территория Комфорта" с физическими лицами Сибикиной В.Н., Кудрявцевой Т.Ю. и Коробовой С.М. заключены договоры, поименованные ими как "договоры подряда", согласно которым исполнитель обязуется по заданию заказчика выполнить работы, указанные в п. 1.2, а заказчик обязуется принять и оплатить эти работы. В заключенных между сторонами договорах указаны действия, которые должен совершить исполнитель, срок оказания услуг, стоимость услуг, порядок приемки оказанных услуг.</w:t>
      </w:r>
    </w:p>
    <w:p>
      <w:pPr>
        <w:pStyle w:val="0"/>
        <w:spacing w:before="200" w:line-rule="auto"/>
        <w:ind w:firstLine="540"/>
        <w:jc w:val="both"/>
      </w:pPr>
      <w:r>
        <w:rPr>
          <w:sz w:val="20"/>
        </w:rPr>
        <w:t xml:space="preserve">В пунктах 3.2 договоров стороны согласовали, что заказчик выплачивает вознаграждение путем перечисления денежных средств на банковский счет исполнителя после подписания сторонами акта сдачи-приемки выполненных работ.</w:t>
      </w:r>
    </w:p>
    <w:p>
      <w:pPr>
        <w:pStyle w:val="0"/>
        <w:spacing w:before="200" w:line-rule="auto"/>
        <w:ind w:firstLine="540"/>
        <w:jc w:val="both"/>
      </w:pPr>
      <w:r>
        <w:rPr>
          <w:sz w:val="20"/>
        </w:rPr>
        <w:t xml:space="preserve">Предметом заключенных с указанными физическими лицами договоров являлись работы по мытью окон, подоконников, отопительных приборов и подъездов жилых домов, кабин лифтов, промывки от пыли и грязи асфальтового покрытия (парковка), уборка дверей, стен и плафонов, дополнительный (кроме сезонного) покос травы.</w:t>
      </w:r>
    </w:p>
    <w:p>
      <w:pPr>
        <w:pStyle w:val="0"/>
        <w:spacing w:before="200" w:line-rule="auto"/>
        <w:ind w:firstLine="540"/>
        <w:jc w:val="both"/>
      </w:pPr>
      <w:r>
        <w:rPr>
          <w:sz w:val="20"/>
        </w:rPr>
        <w:t xml:space="preserve">Судами в процессе рассмотрения дела было установлено, что такие работы носили не систематический характер, а разовый после проведения текущего ремонта подъездов, побелки и покраски стен.</w:t>
      </w:r>
    </w:p>
    <w:p>
      <w:pPr>
        <w:pStyle w:val="0"/>
        <w:spacing w:before="200" w:line-rule="auto"/>
        <w:ind w:firstLine="540"/>
        <w:jc w:val="both"/>
      </w:pPr>
      <w:r>
        <w:rPr>
          <w:sz w:val="20"/>
        </w:rPr>
        <w:t xml:space="preserve">При этом, судами обоснованно были приняты во внимание пояснения представителей ООО УК "Территория Комфорта" относительно невозможности выполнения таких работ его сотрудниками ввиду их нехватки, о выполнении указанных работ самозанятыми без привязки к рабочему графику управляющей компании в удобное им время принадлежащими им моющими и техническими средствами, без предоставления инвентаря управляющей компанией.</w:t>
      </w:r>
    </w:p>
    <w:p>
      <w:pPr>
        <w:pStyle w:val="0"/>
        <w:spacing w:before="200" w:line-rule="auto"/>
        <w:ind w:firstLine="540"/>
        <w:jc w:val="both"/>
      </w:pPr>
      <w:r>
        <w:rPr>
          <w:sz w:val="20"/>
        </w:rPr>
        <w:t xml:space="preserve">Судами правомерно опровергнуты доводы налогового органа о руководстве деятельностью самозанятых УК ввиду изложенного в пункте 2.4.1 договоров подряда, где установлен запрет на вмешательство заказчика в деятельность исполнителя.</w:t>
      </w:r>
    </w:p>
    <w:p>
      <w:pPr>
        <w:pStyle w:val="0"/>
        <w:spacing w:before="200" w:line-rule="auto"/>
        <w:ind w:firstLine="540"/>
        <w:jc w:val="both"/>
      </w:pPr>
      <w:r>
        <w:rPr>
          <w:sz w:val="20"/>
        </w:rPr>
        <w:t xml:space="preserve">В договорах не установлено подчинение работника правилам внутреннего трудового распорядка, не содержатся и условия соблюдения определенного режима работы и отдыха, не предусмотрена выплата сумм по временной нетрудоспособности и травматизму, предоставление иных гарантий социальной защищенности (ежегодных отпусков и выходных дней с сохранением места работы и среднего заработка). Таким образом, суды пришли к правильному выводу об отсутствии совокупности признаков, свидетельствующих о подмене трудовых отношений гражданско-правовыми.</w:t>
      </w:r>
    </w:p>
    <w:p>
      <w:pPr>
        <w:pStyle w:val="0"/>
        <w:spacing w:before="200" w:line-rule="auto"/>
        <w:ind w:firstLine="540"/>
        <w:jc w:val="both"/>
      </w:pPr>
      <w:r>
        <w:rPr>
          <w:sz w:val="20"/>
        </w:rPr>
        <w:t xml:space="preserve">Судами также установлена оплата физическими лицами Сибикиной В.Н., Кудрявцевой Т.Ю. и Коробовой С.М. налога на профессиональный доход с полученных от ООО УК "Территория Комфорта" сумм.</w:t>
      </w:r>
    </w:p>
    <w:p>
      <w:pPr>
        <w:pStyle w:val="0"/>
        <w:spacing w:before="200" w:line-rule="auto"/>
        <w:ind w:firstLine="540"/>
        <w:jc w:val="both"/>
      </w:pPr>
      <w:r>
        <w:rPr>
          <w:sz w:val="20"/>
        </w:rPr>
        <w:t xml:space="preserve">Из представленного в материалы дела штатного расписания и сведений о работающих лицах ООО УК "Территория Комфорта" следует, что в обществе имелись такие должности как уборщик мест общего пользования в МКД, рабочий по комплексному обслуживанию и ремонту зданий, дворник по уборке придомовой территории, которые обслуживали МКД, находящиеся в управлении общества, что подтверждается актами выполненных работ, подписанными собственниками квартир МКД, численность работников в третьем квартале 2022 года не снижалась. В материалы дела в суде апелляционной инстанции обществом также были представлены ведомости по выдаче заработной платы и аванса штатным сотрудникам и выписки по расчетному счету ПАО "Росбанк" за третий квартал 2022 года, при этом судом установлено, что порядок, размер и сроки данных выплат по трудовым договорам не совпадают с выплатами по гражданско-правовым договорам с самозанятыми.</w:t>
      </w:r>
    </w:p>
    <w:p>
      <w:pPr>
        <w:pStyle w:val="0"/>
        <w:spacing w:before="200" w:line-rule="auto"/>
        <w:ind w:firstLine="540"/>
        <w:jc w:val="both"/>
      </w:pPr>
      <w:r>
        <w:rPr>
          <w:sz w:val="20"/>
        </w:rPr>
        <w:t xml:space="preserve">Относительно работ по ул. Красная, д. 47, по покраске ограждения на детской площадке и по покосу травы, судами установлено, что работы по покраске договором управления с собственниками МКД предусмотрен не был, тогда как покос травы производился дополнительно на основании обращения собственника помещения в МКД и оплачивался не за счет средств управляющей компании.</w:t>
      </w:r>
    </w:p>
    <w:p>
      <w:pPr>
        <w:pStyle w:val="0"/>
        <w:spacing w:before="200" w:line-rule="auto"/>
        <w:ind w:firstLine="540"/>
        <w:jc w:val="both"/>
      </w:pPr>
      <w:r>
        <w:rPr>
          <w:sz w:val="20"/>
        </w:rPr>
        <w:t xml:space="preserve">Таким образом, суды с учетом анализа доказательств, содержащихся в материалах дела, пришли к верному выводу о том, что самозанятые привлекались управляющей компанией для выполнения разовых работ в рамках проведения текущих ремонтных работ, а также по обращениям собственников жилых и нежилых помещений в многоквартирных домах, находящихся в управлении.</w:t>
      </w:r>
    </w:p>
    <w:p>
      <w:pPr>
        <w:pStyle w:val="0"/>
        <w:spacing w:before="200" w:line-rule="auto"/>
        <w:ind w:firstLine="540"/>
        <w:jc w:val="both"/>
      </w:pPr>
      <w:r>
        <w:rPr>
          <w:sz w:val="20"/>
        </w:rPr>
        <w:t xml:space="preserve">Таким образом, основываясь на совокупности приведенных нормативных положений и обстоятельств дела, суды пришли к верному выводу о недоказанности в рассматриваемом случае налоговым органом подмены трудовых отношений гражданско-правовыми и применение организацией незаконной оптимизации налогов.</w:t>
      </w:r>
    </w:p>
    <w:p>
      <w:pPr>
        <w:pStyle w:val="0"/>
        <w:spacing w:before="200" w:line-rule="auto"/>
        <w:ind w:firstLine="540"/>
        <w:jc w:val="both"/>
      </w:pPr>
      <w:r>
        <w:rPr>
          <w:sz w:val="20"/>
        </w:rPr>
        <w:t xml:space="preserve">В соответствии с положениями </w:t>
      </w:r>
      <w:hyperlink w:history="0" r:id="rId43"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статей 286</w:t>
        </w:r>
      </w:hyperlink>
      <w:r>
        <w:rPr>
          <w:sz w:val="20"/>
        </w:rPr>
        <w:t xml:space="preserve">, </w:t>
      </w:r>
      <w:hyperlink w:history="0" r:id="rId44"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287</w:t>
        </w:r>
      </w:hyperlink>
      <w:r>
        <w:rPr>
          <w:sz w:val="20"/>
        </w:rPr>
        <w:t xml:space="preserve"> АПК РФ суду кассационной инстанции не предоставлены полномочия пересматривать фактические обстоятельства дела, установленные судом при их рассмотрении, давать иную оценку собранным по делу доказательствам,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w:t>
      </w:r>
    </w:p>
    <w:p>
      <w:pPr>
        <w:pStyle w:val="0"/>
        <w:spacing w:before="200" w:line-rule="auto"/>
        <w:ind w:firstLine="540"/>
        <w:jc w:val="both"/>
      </w:pPr>
      <w:r>
        <w:rPr>
          <w:sz w:val="20"/>
        </w:rPr>
        <w:t xml:space="preserve">Учитывая вышеизложенное, суд округа считает, что при рассмотрении дела судами нижестоящих инстанций не было допущено нарушений норм материального и (или) процессуального права, выводы судов законны и обоснованны, основаны на исследовании судами материалов дела в полном объеме.</w:t>
      </w:r>
    </w:p>
    <w:p>
      <w:pPr>
        <w:pStyle w:val="0"/>
        <w:spacing w:before="200" w:line-rule="auto"/>
        <w:ind w:firstLine="540"/>
        <w:jc w:val="both"/>
      </w:pPr>
      <w:r>
        <w:rPr>
          <w:sz w:val="20"/>
        </w:rPr>
        <w:t xml:space="preserve">С учетом изложенного, судебная коллегия полагает обжалуемые судебные акты законными и обоснованными, оснований для их отмены не имеется.</w:t>
      </w:r>
    </w:p>
    <w:p>
      <w:pPr>
        <w:pStyle w:val="0"/>
        <w:spacing w:before="200" w:line-rule="auto"/>
        <w:ind w:firstLine="540"/>
        <w:jc w:val="both"/>
      </w:pPr>
      <w:r>
        <w:rPr>
          <w:sz w:val="20"/>
        </w:rPr>
        <w:t xml:space="preserve">Кассационная жалоба Управления Федеральной налоговой службы по Тамбовской области удовлетворению не подлежит.</w:t>
      </w:r>
    </w:p>
    <w:p>
      <w:pPr>
        <w:pStyle w:val="0"/>
        <w:spacing w:before="200" w:line-rule="auto"/>
        <w:ind w:firstLine="540"/>
        <w:jc w:val="both"/>
      </w:pPr>
      <w:r>
        <w:rPr>
          <w:sz w:val="20"/>
        </w:rPr>
        <w:t xml:space="preserve">Руководствуясь </w:t>
      </w:r>
      <w:hyperlink w:history="0" r:id="rId45"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п. 1 ч. 1 ст. 287</w:t>
        </w:r>
      </w:hyperlink>
      <w:r>
        <w:rPr>
          <w:sz w:val="20"/>
        </w:rPr>
        <w:t xml:space="preserve">, </w:t>
      </w:r>
      <w:hyperlink w:history="0" r:id="rId46"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 289</w:t>
        </w:r>
      </w:hyperlink>
      <w:r>
        <w:rPr>
          <w:sz w:val="20"/>
        </w:rPr>
        <w:t xml:space="preserve"> Арбитражного процессуального кодекса Российской Федерации,</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47" w:tooltip="Ссылка на КонсультантПлюс">
        <w:r>
          <w:rPr>
            <w:sz w:val="20"/>
            <w:color w:val="0000ff"/>
          </w:rPr>
          <w:t xml:space="preserve">Решение</w:t>
        </w:r>
      </w:hyperlink>
      <w:r>
        <w:rPr>
          <w:sz w:val="20"/>
        </w:rPr>
        <w:t xml:space="preserve"> Арбитражного суда Тамбовской области от 02.10.2024 и </w:t>
      </w:r>
      <w:hyperlink w:history="0" r:id="rId48" w:tooltip="Постановление Девятнадцатого арбитражного апелляционного суда от 07.02.2025 N 19АП-6606/2024 по делу N А64-7696/2023 Требование: О признании недействительными решений налогового органа о привлечении к налоговой ответственности по п. 1 ст. 123 НК РФ в виде штрафа. Решение: Требование удовлетворено. {КонсультантПлюс}">
        <w:r>
          <w:rPr>
            <w:sz w:val="20"/>
            <w:color w:val="0000ff"/>
          </w:rPr>
          <w:t xml:space="preserve">постановление</w:t>
        </w:r>
      </w:hyperlink>
      <w:r>
        <w:rPr>
          <w:sz w:val="20"/>
        </w:rPr>
        <w:t xml:space="preserve"> Девятнадцатого арбитражного апелляционного суда от 07.02.2025 по делу N А64-7696/2023 оставить без изменения, кассационную жалобу - без удовлетворения.</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течение двух месяцев в Судебную коллегию Верховного Суда Российской Федерации в порядке, установленном </w:t>
      </w:r>
      <w:hyperlink w:history="0" r:id="rId49"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статьей 291.1</w:t>
        </w:r>
      </w:hyperlink>
      <w:r>
        <w:rPr>
          <w:sz w:val="20"/>
        </w:rPr>
        <w:t xml:space="preserve"> Арбитражного процессуального кодекса Российской Федерации.</w:t>
      </w:r>
    </w:p>
    <w:p>
      <w:pPr>
        <w:pStyle w:val="0"/>
        <w:ind w:firstLine="540"/>
        <w:jc w:val="both"/>
      </w:pPr>
      <w:r>
        <w:rPr>
          <w:sz w:val="20"/>
        </w:rPr>
      </w:r>
    </w:p>
    <w:p>
      <w:pPr>
        <w:pStyle w:val="0"/>
        <w:jc w:val="right"/>
      </w:pPr>
      <w:r>
        <w:rPr>
          <w:sz w:val="20"/>
        </w:rPr>
        <w:t xml:space="preserve">Председательствующий судья</w:t>
      </w:r>
    </w:p>
    <w:p>
      <w:pPr>
        <w:pStyle w:val="0"/>
        <w:jc w:val="right"/>
      </w:pPr>
      <w:r>
        <w:rPr>
          <w:sz w:val="20"/>
        </w:rPr>
        <w:t xml:space="preserve">Ю.А.РАДВАНОВСКАЯ</w:t>
      </w:r>
    </w:p>
    <w:p>
      <w:pPr>
        <w:pStyle w:val="0"/>
        <w:jc w:val="right"/>
      </w:pPr>
      <w:r>
        <w:rPr>
          <w:sz w:val="20"/>
        </w:rPr>
      </w:r>
    </w:p>
    <w:p>
      <w:pPr>
        <w:pStyle w:val="0"/>
        <w:jc w:val="right"/>
      </w:pPr>
      <w:r>
        <w:rPr>
          <w:sz w:val="20"/>
        </w:rPr>
        <w:t xml:space="preserve">Судьи</w:t>
      </w:r>
    </w:p>
    <w:p>
      <w:pPr>
        <w:pStyle w:val="0"/>
        <w:jc w:val="right"/>
      </w:pPr>
      <w:r>
        <w:rPr>
          <w:sz w:val="20"/>
        </w:rPr>
        <w:t xml:space="preserve">Е.В.БЕССОНОВА</w:t>
      </w:r>
    </w:p>
    <w:p>
      <w:pPr>
        <w:pStyle w:val="0"/>
        <w:jc w:val="right"/>
      </w:pPr>
      <w:r>
        <w:rPr>
          <w:sz w:val="20"/>
        </w:rPr>
        <w:t xml:space="preserve">Н.Н.СМОТРОВА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Арбитражного суда Центрального округа от 05.06.2025 N Ф10-1016/2025 по делу N А64-7696/2023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Арбитражного суда Центрального округа от 05.06.2025 N Ф10-1016/2025 по делу N А64-7696/2023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consultantplus://offline/ref=7A91676211A268C8010A104DB52A21272D183FD94602308A592FC918ADB6301B6B35CF345F1EA59FCD6900CF4D3CA6W67CU" TargetMode = "External"/>
	<Relationship Id="rId7" Type="http://schemas.openxmlformats.org/officeDocument/2006/relationships/hyperlink" Target="consultantplus://offline/ref=7A91676211A268C8010A035FA6372A78291168D647063089557B9E1AFCE33E1E636595245B57F191D26A1AD14B22A66AA6W27FU" TargetMode = "External"/>
	<Relationship Id="rId8" Type="http://schemas.openxmlformats.org/officeDocument/2006/relationships/hyperlink" Target="consultantplus://offline/ref=7A91676211A268C8010A1D5FA15F7474241936DA4E0139DF0E2D984DA3B3384B232593770147F5D8866405D2513CA074A629A9WC7DU" TargetMode = "External"/>
	<Relationship Id="rId9" Type="http://schemas.openxmlformats.org/officeDocument/2006/relationships/hyperlink" Target="consultantplus://offline/ref=7A91676211A268C8010A104DB52A21272D183FD94602308A592FC918ADB6301B6B35CF345F1EA59FCD6900CF4D3CA6W67CU" TargetMode = "External"/>
	<Relationship Id="rId10" Type="http://schemas.openxmlformats.org/officeDocument/2006/relationships/hyperlink" Target="consultantplus://offline/ref=7A91676211A268C8010A035FA6372A78291168D647063089557B9E1AFCE33E1E636595245B57F191D26A1AD14B22A66AA6W27FU" TargetMode = "External"/>
	<Relationship Id="rId11" Type="http://schemas.openxmlformats.org/officeDocument/2006/relationships/hyperlink" Target="consultantplus://offline/ref=7A91676211A268C8010A1D5FA15F7474251A34D9430739DF0E2D984DA3B3384B232593760312AFC8822D51DC4E3FBA6AA037A9CBDCW675U" TargetMode = "External"/>
	<Relationship Id="rId12" Type="http://schemas.openxmlformats.org/officeDocument/2006/relationships/hyperlink" Target="consultantplus://offline/ref=7A91676211A268C8010A1D5FA15F7474241936DA4E0139DF0E2D984DA3B3384B232593770147F5D8866405D2513CA074A629A9WC7DU" TargetMode = "External"/>
	<Relationship Id="rId13" Type="http://schemas.openxmlformats.org/officeDocument/2006/relationships/hyperlink" Target="consultantplus://offline/ref=7A91676211A268C8010A1D5FA15F7474241234D34F0A39DF0E2D984DA3B3384B232593740D1AA59787384084423DA774A42DB5C9DE61W47FU" TargetMode = "External"/>
	<Relationship Id="rId14" Type="http://schemas.openxmlformats.org/officeDocument/2006/relationships/hyperlink" Target="consultantplus://offline/ref=7A91676211A268C8010A1D5FA15F7474241234D34F0A39DF0E2D984DA3B3384B232593710A12A59FD06250800B69A96BA737ABCFC06149C3W373U" TargetMode = "External"/>
	<Relationship Id="rId15" Type="http://schemas.openxmlformats.org/officeDocument/2006/relationships/hyperlink" Target="consultantplus://offline/ref=7A91676211A268C8010A1D5FA15F7474241234D34F0A39DF0E2D984DA3B3384B232593710A12A598D56250800B69A96BA737ABCFC06149C3W373U" TargetMode = "External"/>
	<Relationship Id="rId16" Type="http://schemas.openxmlformats.org/officeDocument/2006/relationships/hyperlink" Target="consultantplus://offline/ref=7A91676211A268C8010A1D5FA15F7474241C30D3430039DF0E2D984DA3B3384B23259372031AAC9787384084423DA774A42DB5C9DE61W47FU" TargetMode = "External"/>
	<Relationship Id="rId17" Type="http://schemas.openxmlformats.org/officeDocument/2006/relationships/hyperlink" Target="consultantplus://offline/ref=7A91676211A268C8010A1D5FA15F7474241C30D3430039DF0E2D984DA3B3384B232593710A12A59DD16250800B69A96BA737ABCFC06149C3W373U" TargetMode = "External"/>
	<Relationship Id="rId18" Type="http://schemas.openxmlformats.org/officeDocument/2006/relationships/hyperlink" Target="consultantplus://offline/ref=7A91676211A268C8010A1D5FA15F7474241C30D3430039DF0E2D984DA3B3384B232593710A12A59DD56250800B69A96BA737ABCFC06149C3W373U" TargetMode = "External"/>
	<Relationship Id="rId19" Type="http://schemas.openxmlformats.org/officeDocument/2006/relationships/hyperlink" Target="consultantplus://offline/ref=7A91676211A268C8010A1D5FA15F7474241C30D3430039DF0E2D984DA3B3384B232593720E13AC98D83D55951A31A569BA29AFD5DC634BWC77U" TargetMode = "External"/>
	<Relationship Id="rId20" Type="http://schemas.openxmlformats.org/officeDocument/2006/relationships/hyperlink" Target="consultantplus://offline/ref=7A91676211A268C8010A1D5FA15F7474241C30D3430039DF0E2D984DA3B3384B232593710F13A19AD83D55951A31A569BA29AFD5DC634BWC77U" TargetMode = "External"/>
	<Relationship Id="rId21" Type="http://schemas.openxmlformats.org/officeDocument/2006/relationships/hyperlink" Target="consultantplus://offline/ref=7A91676211A268C8010A1D5FA15F7474241C30D3430039DF0E2D984DA3B3384B232593710A12A099D26250800B69A96BA737ABCFC06149C3W373U" TargetMode = "External"/>
	<Relationship Id="rId22" Type="http://schemas.openxmlformats.org/officeDocument/2006/relationships/hyperlink" Target="consultantplus://offline/ref=7A91676211A268C8010A1D5FA15F7474241C30D3430039DF0E2D984DA3B3384B232593710A12A099D46250800B69A96BA737ABCFC06149C3W373U" TargetMode = "External"/>
	<Relationship Id="rId23" Type="http://schemas.openxmlformats.org/officeDocument/2006/relationships/hyperlink" Target="consultantplus://offline/ref=7A91676211A268C8010A1D5FA15F7474241C30D3430039DF0E2D984DA3B3384B232593710F13A19AD83D55951A31A569BA29AFD5DC634BWC77U" TargetMode = "External"/>
	<Relationship Id="rId24" Type="http://schemas.openxmlformats.org/officeDocument/2006/relationships/hyperlink" Target="consultantplus://offline/ref=7A91676211A268C8010A1D5FA15F7474241234DC420439DF0E2D984DA3B3384B232593740147F5D8866405D2513CA074A629A9WC7DU" TargetMode = "External"/>
	<Relationship Id="rId25" Type="http://schemas.openxmlformats.org/officeDocument/2006/relationships/hyperlink" Target="consultantplus://offline/ref=7A91676211A268C8010A1D5FA15F7474241234DC420439DF0E2D984DA3B3384B232593720318F0CD973C09D04C22A46EBA2BABC9WD78U" TargetMode = "External"/>
	<Relationship Id="rId26" Type="http://schemas.openxmlformats.org/officeDocument/2006/relationships/hyperlink" Target="consultantplus://offline/ref=7A91676211A268C8010A1D5FA15F7474241234DC420439DF0E2D984DA3B3384B232593710A13A49DDB6250800B69A96BA737ABCFC06149C3W373U" TargetMode = "External"/>
	<Relationship Id="rId27" Type="http://schemas.openxmlformats.org/officeDocument/2006/relationships/hyperlink" Target="consultantplus://offline/ref=7A91676211A268C8010A1D5FA15F7474241234DC420439DF0E2D984DA3B3384B232593710A13A49DDA6250800B69A96BA737ABCFC06149C3W373U" TargetMode = "External"/>
	<Relationship Id="rId28" Type="http://schemas.openxmlformats.org/officeDocument/2006/relationships/hyperlink" Target="consultantplus://offline/ref=7A91676211A268C8010A1D5FA15F7474241234DC420439DF0E2D984DA3B3384B232593710A13A49ED36250800B69A96BA737ABCFC06149C3W373U" TargetMode = "External"/>
	<Relationship Id="rId29" Type="http://schemas.openxmlformats.org/officeDocument/2006/relationships/hyperlink" Target="consultantplus://offline/ref=7A91676211A268C8010A1D5FA15F7474241234DC420439DF0E2D984DA3B3384B232593710A13A49AD56250800B69A96BA737ABCFC06149C3W373U" TargetMode = "External"/>
	<Relationship Id="rId30" Type="http://schemas.openxmlformats.org/officeDocument/2006/relationships/hyperlink" Target="consultantplus://offline/ref=7A91676211A268C8010A1D5FA15F7474241234DC420439DF0E2D984DA3B3384B3125CB7D0B10BA9CD77706D14DW37AU" TargetMode = "External"/>
	<Relationship Id="rId31" Type="http://schemas.openxmlformats.org/officeDocument/2006/relationships/hyperlink" Target="consultantplus://offline/ref=7A91676211A268C8010A1D5FA15F7474241234DC420439DF0E2D984DA3B3384B232593710A13A49ADB6250800B69A96BA737ABCFC06149C3W373U" TargetMode = "External"/>
	<Relationship Id="rId32" Type="http://schemas.openxmlformats.org/officeDocument/2006/relationships/hyperlink" Target="consultantplus://offline/ref=7A91676211A268C8010A1D5FA15F7474241234DC420439DF0E2D984DA3B3384B232593710A13A49BD36250800B69A96BA737ABCFC06149C3W373U" TargetMode = "External"/>
	<Relationship Id="rId33" Type="http://schemas.openxmlformats.org/officeDocument/2006/relationships/hyperlink" Target="consultantplus://offline/ref=7A91676211A268C8010A1D5FA15F7474241234DC420439DF0E2D984DA3B3384B232593710A13A49BD66250800B69A96BA737ABCFC06149C3W373U" TargetMode = "External"/>
	<Relationship Id="rId34" Type="http://schemas.openxmlformats.org/officeDocument/2006/relationships/hyperlink" Target="consultantplus://offline/ref=7A91676211A268C8010A1D5FA15F7474241D33DA470739DF0E2D984DA3B3384B232593710C17AFC8822D51DC4E3FBA6AA037A9CBDCW675U" TargetMode = "External"/>
	<Relationship Id="rId35" Type="http://schemas.openxmlformats.org/officeDocument/2006/relationships/hyperlink" Target="consultantplus://offline/ref=7A91676211A268C8010A1D5FA15F7474241D33DA470739DF0E2D984DA3B3384B3125CB7D0B10BA9CD77706D14DW37AU" TargetMode = "External"/>
	<Relationship Id="rId36" Type="http://schemas.openxmlformats.org/officeDocument/2006/relationships/hyperlink" Target="consultantplus://offline/ref=7A91676211A268C8010A1D5FA15F7474241D33DA470739DF0E2D984DA3B3384B232593710A13A598D26250800B69A96BA737ABCFC06149C3W373U" TargetMode = "External"/>
	<Relationship Id="rId37" Type="http://schemas.openxmlformats.org/officeDocument/2006/relationships/hyperlink" Target="consultantplus://offline/ref=7A91676211A268C8010A1D5FA15F7474241D33DA470739DF0E2D984DA3B3384B232593710A13A09CD06250800B69A96BA737ABCFC06149C3W373U" TargetMode = "External"/>
	<Relationship Id="rId38" Type="http://schemas.openxmlformats.org/officeDocument/2006/relationships/hyperlink" Target="consultantplus://offline/ref=7A91676211A268C8010A1D5FA15F7474241E3FDF430639DF0E2D984DA3B3384B232593710A12A79EDB6250800B69A96BA737ABCFC06149C3W373U" TargetMode = "External"/>
	<Relationship Id="rId39" Type="http://schemas.openxmlformats.org/officeDocument/2006/relationships/hyperlink" Target="consultantplus://offline/ref=7A91676211A268C8010A1D5FA15F747422133FDA460A39DF0E2D984DA3B3384B232593710A13A499D66250800B69A96BA737ABCFC06149C3W373U" TargetMode = "External"/>
	<Relationship Id="rId40" Type="http://schemas.openxmlformats.org/officeDocument/2006/relationships/hyperlink" Target="consultantplus://offline/ref=7A91676211A268C8010A1D5FA15F7474241D33DA470739DF0E2D984DA3B3384B232593710C17AFC8822D51DC4E3FBA6AA037A9CBDCW675U" TargetMode = "External"/>
	<Relationship Id="rId41" Type="http://schemas.openxmlformats.org/officeDocument/2006/relationships/hyperlink" Target="consultantplus://offline/ref=7A91676211A268C8010A1D5FA15F7474241D33DA470739DF0E2D984DA3B3384B232593710A13A09CD06250800B69A96BA737ABCFC06149C3W373U" TargetMode = "External"/>
	<Relationship Id="rId42" Type="http://schemas.openxmlformats.org/officeDocument/2006/relationships/hyperlink" Target="consultantplus://offline/ref=7A91676211A268C8010A1D5FA15F747422133FDA460A39DF0E2D984DA3B3384B232593710A13A49BD06250800B69A96BA737ABCFC06149C3W373U" TargetMode = "External"/>
	<Relationship Id="rId43" Type="http://schemas.openxmlformats.org/officeDocument/2006/relationships/hyperlink" Target="consultantplus://offline/ref=7A91676211A268C8010A1D5FA15F7474251A34D9430739DF0E2D984DA3B3384B232593710A12AC94D16250800B69A96BA737ABCFC06149C3W373U" TargetMode = "External"/>
	<Relationship Id="rId44" Type="http://schemas.openxmlformats.org/officeDocument/2006/relationships/hyperlink" Target="consultantplus://offline/ref=7A91676211A268C8010A1D5FA15F7474251A34D9430739DF0E2D984DA3B3384B232593710A12AC94D56250800B69A96BA737ABCFC06149C3W373U" TargetMode = "External"/>
	<Relationship Id="rId45" Type="http://schemas.openxmlformats.org/officeDocument/2006/relationships/hyperlink" Target="consultantplus://offline/ref=7A91676211A268C8010A1D5FA15F7474251A34D9430739DF0E2D984DA3B3384B232593710A12AC94DB6250800B69A96BA737ABCFC06149C3W373U" TargetMode = "External"/>
	<Relationship Id="rId46" Type="http://schemas.openxmlformats.org/officeDocument/2006/relationships/hyperlink" Target="consultantplus://offline/ref=7A91676211A268C8010A1D5FA15F7474251A34D9430739DF0E2D984DA3B3384B232593710A12AD9DD36250800B69A96BA737ABCFC06149C3W373U" TargetMode = "External"/>
	<Relationship Id="rId47" Type="http://schemas.openxmlformats.org/officeDocument/2006/relationships/hyperlink" Target="consultantplus://offline/ref=7A91676211A268C8010A104DB52A21272D183FD94602308A592FC918ADB6301B6B35CF345F1EA59FCD6900CF4D3CA6W67CU" TargetMode = "External"/>
	<Relationship Id="rId48" Type="http://schemas.openxmlformats.org/officeDocument/2006/relationships/hyperlink" Target="consultantplus://offline/ref=7A91676211A268C8010A035FA6372A78291168D647063089557B9E1AFCE33E1E636595245B57F191D26A1AD14B22A66AA6W27FU" TargetMode = "External"/>
	<Relationship Id="rId49" Type="http://schemas.openxmlformats.org/officeDocument/2006/relationships/hyperlink" Target="consultantplus://offline/ref=7A91676211A268C8010A1D5FA15F7474251A34D9430739DF0E2D984DA3B3384B232593710C15A79787384084423DA774A42DB5C9DE61W47F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Центрального округа от 05.06.2025 N Ф10-1016/2025 по делу N А64-7696/2023
Требование: О признании недействительными решений налогового органа.
Обстоятельства: Оспариваемыми решениями обществу доначислены НДФЛ, страховые взносы на обязательное медицинское страхование, а также начислен штраф.
Решение: Требование удовлетворено, поскольку в решениях налогового органа не отражены признаки, позволяющие в соответствии с трудовым законодательством квалифицировать отношения, возникшие</dc:title>
  <dcterms:created xsi:type="dcterms:W3CDTF">2026-04-13T20:59:20Z</dcterms:created>
</cp:coreProperties>
</file>